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D55" w:rsidRDefault="000F1D55" w:rsidP="000F1D55">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 xml:space="preserve">León, Guanajuato, a 29 veintinueve de junio del año 2017 dos mil diecisiete. . . . . . . . . . . . . . . . . . . . . . . . . . . . . . . . . . . . . . . . . . . . . . . . . . . . . . . . . . . </w:t>
      </w:r>
    </w:p>
    <w:p w:rsidR="000F1D55" w:rsidRDefault="000F1D55" w:rsidP="000F1D55">
      <w:pPr>
        <w:rPr>
          <w:rFonts w:ascii="Calibri" w:hAnsi="Calibri" w:cs="Calibri"/>
          <w:color w:val="7F7F7F" w:themeColor="text1" w:themeTint="80"/>
          <w:sz w:val="26"/>
          <w:szCs w:val="26"/>
          <w:lang w:val="es-MX"/>
        </w:rPr>
      </w:pPr>
    </w:p>
    <w:p w:rsidR="000F1D55" w:rsidRDefault="000F1D55" w:rsidP="000F1D55">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0306/2do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0F1D55" w:rsidRDefault="000F1D55" w:rsidP="000F1D55">
      <w:pPr>
        <w:pStyle w:val="Textoindependiente"/>
        <w:rPr>
          <w:rFonts w:ascii="Calibri" w:hAnsi="Calibri" w:cs="Calibri"/>
          <w:color w:val="7F7F7F" w:themeColor="text1" w:themeTint="80"/>
          <w:sz w:val="26"/>
          <w:szCs w:val="26"/>
        </w:rPr>
      </w:pPr>
    </w:p>
    <w:p w:rsidR="000F1D55" w:rsidRDefault="000F1D55" w:rsidP="000F1D55">
      <w:pPr>
        <w:pStyle w:val="Textoindependiente"/>
        <w:rPr>
          <w:rFonts w:ascii="Calibri" w:hAnsi="Calibri" w:cs="Calibri"/>
          <w:color w:val="7F7F7F" w:themeColor="text1" w:themeTint="80"/>
          <w:sz w:val="26"/>
          <w:szCs w:val="26"/>
        </w:rPr>
      </w:pPr>
    </w:p>
    <w:p w:rsidR="000F1D55" w:rsidRDefault="000F1D55" w:rsidP="000F1D55">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0F1D55" w:rsidRDefault="000F1D55" w:rsidP="000F1D55">
      <w:pPr>
        <w:pStyle w:val="Textoindependiente"/>
        <w:ind w:firstLine="708"/>
        <w:jc w:val="center"/>
        <w:rPr>
          <w:rFonts w:ascii="Calibri" w:hAnsi="Calibri" w:cs="Calibri"/>
          <w:b/>
          <w:bCs/>
          <w:color w:val="7F7F7F" w:themeColor="text1" w:themeTint="80"/>
          <w:sz w:val="26"/>
          <w:szCs w:val="26"/>
        </w:rPr>
      </w:pPr>
    </w:p>
    <w:p w:rsidR="000F1D55" w:rsidRDefault="000F1D55" w:rsidP="000F1D55">
      <w:pPr>
        <w:pStyle w:val="Textoindependiente"/>
        <w:rPr>
          <w:rFonts w:ascii="Calibri" w:hAnsi="Calibri" w:cs="Calibri"/>
          <w:b/>
          <w:bCs/>
          <w:color w:val="7F7F7F" w:themeColor="text1" w:themeTint="80"/>
          <w:sz w:val="26"/>
          <w:szCs w:val="26"/>
        </w:rPr>
      </w:pPr>
    </w:p>
    <w:p w:rsidR="000F1D55" w:rsidRDefault="000F1D55" w:rsidP="000F1D55">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20 veinte de enero del año en curso, sin que de las constancias de la presente causa administrativa se desprenda lo contrario. . . . . . . . . . . . . . . . . . . . . . . . . . . . . . . . . . . . . . . . . . . . . . . . . . </w:t>
      </w:r>
    </w:p>
    <w:p w:rsidR="000F1D55" w:rsidRDefault="000F1D55" w:rsidP="000F1D55">
      <w:pPr>
        <w:jc w:val="both"/>
        <w:rPr>
          <w:rFonts w:ascii="Calibri" w:hAnsi="Calibri" w:cs="Calibri"/>
          <w:b/>
          <w:i/>
          <w:iCs/>
          <w:color w:val="7F7F7F" w:themeColor="text1" w:themeTint="80"/>
          <w:sz w:val="26"/>
          <w:szCs w:val="26"/>
          <w:lang w:val="es-MX"/>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359498 (tres-cinco-nueve-cuatro-nueve-ocho), de fecha 20 veinte de enero del año 2017 dos mil diecisiete; documento que, admitido como prueba a las partes (visible a foja 9 nueve), merece pleno valor probatorio, conforme lo dispuesto en los artículos 78, 81, 117, 118, 121 y 131 del Código de Procedimiento y Justicia Administrativa para el </w:t>
      </w:r>
    </w:p>
    <w:p w:rsidR="000F1D55" w:rsidRDefault="000F1D55" w:rsidP="000F1D5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0306/2do JAM/2017-JN</w:t>
      </w:r>
    </w:p>
    <w:p w:rsidR="000F1D55" w:rsidRDefault="000F1D55" w:rsidP="000F1D55">
      <w:pPr>
        <w:ind w:firstLine="708"/>
        <w:jc w:val="both"/>
        <w:rPr>
          <w:rFonts w:ascii="Calibri" w:hAnsi="Calibri" w:cs="Calibri"/>
          <w:color w:val="7F7F7F" w:themeColor="text1" w:themeTint="80"/>
          <w:sz w:val="26"/>
          <w:szCs w:val="26"/>
        </w:rPr>
      </w:pPr>
    </w:p>
    <w:p w:rsidR="000F1D55" w:rsidRDefault="000F1D55" w:rsidP="000F1D55">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0F1D55" w:rsidRDefault="000F1D55" w:rsidP="000F1D55">
      <w:pPr>
        <w:jc w:val="both"/>
        <w:rPr>
          <w:rFonts w:ascii="Calibri" w:hAnsi="Calibri" w:cs="Calibri"/>
          <w:color w:val="7F7F7F" w:themeColor="text1" w:themeTint="80"/>
          <w:sz w:val="26"/>
          <w:szCs w:val="26"/>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0F1D55" w:rsidRDefault="000F1D55" w:rsidP="000F1D55">
      <w:pPr>
        <w:ind w:firstLine="708"/>
        <w:jc w:val="both"/>
        <w:rPr>
          <w:rFonts w:ascii="Calibri" w:hAnsi="Calibri" w:cs="Calibri"/>
          <w:b/>
          <w:bCs/>
          <w:i/>
          <w:iCs/>
          <w:color w:val="7F7F7F" w:themeColor="text1" w:themeTint="80"/>
          <w:sz w:val="26"/>
          <w:szCs w:val="26"/>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w:t>
      </w:r>
      <w:r>
        <w:rPr>
          <w:rFonts w:ascii="Calibri" w:hAnsi="Calibri" w:cs="Calibri"/>
          <w:color w:val="7F7F7F" w:themeColor="text1" w:themeTint="80"/>
          <w:sz w:val="26"/>
          <w:szCs w:val="26"/>
        </w:rPr>
        <w:lastRenderedPageBreak/>
        <w:t xml:space="preserve">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0F1D55" w:rsidRDefault="000F1D55" w:rsidP="000F1D55">
      <w:pPr>
        <w:ind w:firstLine="708"/>
        <w:jc w:val="right"/>
        <w:rPr>
          <w:rFonts w:ascii="Calibri" w:hAnsi="Calibri" w:cs="Calibri"/>
          <w:b/>
          <w:color w:val="7F7F7F" w:themeColor="text1" w:themeTint="80"/>
          <w:sz w:val="26"/>
          <w:szCs w:val="26"/>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0F1D55" w:rsidRDefault="000F1D55" w:rsidP="000F1D55">
      <w:pPr>
        <w:ind w:firstLine="708"/>
        <w:jc w:val="both"/>
        <w:rPr>
          <w:rFonts w:ascii="Calibri" w:hAnsi="Calibri" w:cs="Calibri"/>
          <w:color w:val="7F7F7F" w:themeColor="text1" w:themeTint="80"/>
          <w:sz w:val="26"/>
          <w:szCs w:val="26"/>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expedida por el *****, Notario Público número 99 noventa y nueve, en legal ejercicio en este Partido Judicial de León, Guanajuato (visible en autos a fojas de la 4 cuatro a la 8 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0F1D55" w:rsidRDefault="000F1D55" w:rsidP="000F1D55">
      <w:pPr>
        <w:jc w:val="both"/>
        <w:rPr>
          <w:rFonts w:ascii="Calibri" w:hAnsi="Calibri" w:cs="Calibri"/>
          <w:b/>
          <w:bCs/>
          <w:i/>
          <w:iCs/>
          <w:color w:val="7F7F7F" w:themeColor="text1" w:themeTint="80"/>
          <w:sz w:val="26"/>
          <w:szCs w:val="26"/>
        </w:rPr>
      </w:pPr>
    </w:p>
    <w:p w:rsidR="000F1D55" w:rsidRDefault="000F1D55" w:rsidP="000F1D55">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0F1D55" w:rsidRDefault="000F1D55" w:rsidP="000F1D55">
      <w:pPr>
        <w:jc w:val="both"/>
        <w:rPr>
          <w:rFonts w:ascii="Calibri" w:hAnsi="Calibri" w:cs="Calibri"/>
          <w:b/>
          <w:bCs/>
          <w:i/>
          <w:iCs/>
          <w:color w:val="7F7F7F" w:themeColor="text1" w:themeTint="80"/>
          <w:sz w:val="26"/>
          <w:szCs w:val="26"/>
        </w:rPr>
      </w:pPr>
    </w:p>
    <w:p w:rsidR="000F1D55" w:rsidRDefault="000F1D55" w:rsidP="000F1D55">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Pr>
          <w:rFonts w:ascii="Calibri" w:hAnsi="Calibri" w:cs="Calibri"/>
          <w:bCs/>
          <w:iCs/>
          <w:color w:val="7F7F7F" w:themeColor="text1" w:themeTint="80"/>
          <w:sz w:val="26"/>
          <w:szCs w:val="26"/>
        </w:rPr>
        <w:lastRenderedPageBreak/>
        <w:t xml:space="preserve">los intereses jurídicos de la actora, configurándose el supuesto previsto en la fracción I del artículo 261 del Código antedicho. . . . . . . . . . . . . . . . . . . . . . . . . . . </w:t>
      </w:r>
    </w:p>
    <w:p w:rsidR="000F1D55" w:rsidRDefault="000F1D55" w:rsidP="000F1D55">
      <w:pPr>
        <w:pStyle w:val="Sangradetextonormal"/>
        <w:ind w:left="0" w:firstLine="708"/>
        <w:jc w:val="both"/>
        <w:rPr>
          <w:rFonts w:ascii="Calibri" w:hAnsi="Calibri" w:cs="Calibri"/>
          <w:bCs/>
          <w:iCs/>
          <w:color w:val="7F7F7F" w:themeColor="text1" w:themeTint="80"/>
          <w:sz w:val="26"/>
          <w:szCs w:val="26"/>
        </w:rPr>
      </w:pPr>
    </w:p>
    <w:p w:rsidR="000F1D55" w:rsidRDefault="000F1D55" w:rsidP="000F1D5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w:t>
      </w:r>
    </w:p>
    <w:p w:rsidR="000F1D55" w:rsidRDefault="000F1D55" w:rsidP="000F1D55">
      <w:pPr>
        <w:pStyle w:val="Sangradetextonormal"/>
        <w:ind w:left="0" w:firstLine="708"/>
        <w:jc w:val="both"/>
        <w:rPr>
          <w:rFonts w:ascii="Calibri" w:hAnsi="Calibri" w:cs="Calibri"/>
          <w:bCs/>
          <w:iCs/>
          <w:color w:val="7F7F7F" w:themeColor="text1" w:themeTint="80"/>
          <w:sz w:val="26"/>
          <w:szCs w:val="26"/>
        </w:rPr>
      </w:pPr>
    </w:p>
    <w:p w:rsidR="000F1D55" w:rsidRDefault="000F1D55" w:rsidP="000F1D55">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Continuando con el análisis de las causales de improcedencia o sobreseimiento,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0F1D55" w:rsidRDefault="000F1D55" w:rsidP="000F1D55">
      <w:pPr>
        <w:jc w:val="both"/>
        <w:rPr>
          <w:rFonts w:ascii="Calibri" w:hAnsi="Calibri" w:cs="Calibri"/>
          <w:b/>
          <w:bCs/>
          <w:i/>
          <w:iCs/>
          <w:color w:val="7F7F7F" w:themeColor="text1" w:themeTint="80"/>
          <w:sz w:val="26"/>
          <w:szCs w:val="26"/>
          <w:lang w:val="es-MX"/>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F1D55" w:rsidRDefault="000F1D55" w:rsidP="000F1D55">
      <w:pPr>
        <w:ind w:firstLine="708"/>
        <w:jc w:val="both"/>
        <w:rPr>
          <w:rFonts w:ascii="Calibri" w:hAnsi="Calibri" w:cs="Calibri"/>
          <w:color w:val="7F7F7F" w:themeColor="text1" w:themeTint="80"/>
          <w:sz w:val="26"/>
          <w:szCs w:val="26"/>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 con fecha 20 veinte de enero del año 2017 dos mil diecisiete, en el lugar que identificó como: </w:t>
      </w:r>
      <w:r>
        <w:rPr>
          <w:rFonts w:ascii="Calibri" w:hAnsi="Calibri" w:cs="Calibri"/>
          <w:i/>
          <w:iCs/>
          <w:color w:val="7F7F7F" w:themeColor="text1" w:themeTint="80"/>
          <w:sz w:val="26"/>
          <w:szCs w:val="26"/>
        </w:rPr>
        <w:t>“Estación de transferencia Timoteo Lozano”</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levantó el acta de infracción número  359498  (tres-cinco-nueve-cuatro-nueve-ocho),  en  la que señaló  como</w:t>
      </w:r>
    </w:p>
    <w:p w:rsidR="000F1D55" w:rsidRDefault="000F1D55" w:rsidP="000F1D5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0306/2do JAM/2017-JN</w:t>
      </w:r>
    </w:p>
    <w:p w:rsidR="000F1D55" w:rsidRDefault="000F1D55" w:rsidP="000F1D55">
      <w:pPr>
        <w:jc w:val="both"/>
        <w:rPr>
          <w:rFonts w:ascii="Calibri" w:hAnsi="Calibri" w:cs="Calibri"/>
          <w:color w:val="7F7F7F" w:themeColor="text1" w:themeTint="80"/>
          <w:sz w:val="26"/>
          <w:szCs w:val="26"/>
        </w:rPr>
      </w:pPr>
    </w:p>
    <w:p w:rsidR="000F1D55" w:rsidRDefault="000F1D55" w:rsidP="000F1D55">
      <w:pPr>
        <w:jc w:val="both"/>
        <w:rPr>
          <w:rFonts w:ascii="Calibri" w:hAnsi="Calibri" w:cs="Calibri"/>
          <w:i/>
          <w:color w:val="7F7F7F" w:themeColor="text1" w:themeTint="80"/>
          <w:sz w:val="26"/>
          <w:szCs w:val="26"/>
        </w:rPr>
      </w:pPr>
      <w:r>
        <w:rPr>
          <w:rFonts w:ascii="Calibri" w:hAnsi="Calibri" w:cs="Calibri"/>
          <w:color w:val="7F7F7F" w:themeColor="text1" w:themeTint="80"/>
          <w:sz w:val="26"/>
          <w:szCs w:val="26"/>
        </w:rPr>
        <w:t xml:space="preserve">concepto de la infracción: </w:t>
      </w:r>
      <w:r>
        <w:rPr>
          <w:rFonts w:ascii="Calibri" w:hAnsi="Calibri" w:cs="Calibri"/>
          <w:i/>
          <w:color w:val="7F7F7F" w:themeColor="text1" w:themeTint="80"/>
          <w:sz w:val="26"/>
          <w:szCs w:val="26"/>
        </w:rPr>
        <w:t>“Por incumplir con los horarios, rutas, itinerarios y o frecuencias autorizadas en la prestación del servicio (Afore la ruta X-</w:t>
      </w:r>
      <w:r>
        <w:rPr>
          <w:rFonts w:ascii="Calibri" w:hAnsi="Calibri" w:cs="Calibri"/>
          <w:i/>
          <w:color w:val="7F7F7F" w:themeColor="text1" w:themeTint="80"/>
          <w:sz w:val="26"/>
          <w:szCs w:val="26"/>
        </w:rPr>
        <w:lastRenderedPageBreak/>
        <w:t xml:space="preserve">09…..percatándome que se incumplió con el despacho número 18……..toda vez que el autobús no llegó al lugar………)”,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w:t>
      </w:r>
    </w:p>
    <w:p w:rsidR="000F1D55" w:rsidRDefault="000F1D55" w:rsidP="000F1D55">
      <w:pPr>
        <w:ind w:firstLine="708"/>
        <w:jc w:val="both"/>
        <w:rPr>
          <w:rFonts w:ascii="Calibri" w:hAnsi="Calibri" w:cs="Calibri"/>
          <w:color w:val="7F7F7F" w:themeColor="text1" w:themeTint="80"/>
          <w:sz w:val="26"/>
          <w:szCs w:val="26"/>
        </w:rPr>
      </w:pPr>
    </w:p>
    <w:p w:rsidR="000F1D55" w:rsidRDefault="000F1D55" w:rsidP="000F1D55">
      <w:pPr>
        <w:ind w:firstLine="708"/>
        <w:jc w:val="both"/>
        <w:rPr>
          <w:rFonts w:ascii="Calibri" w:hAnsi="Calibri" w:cs="Calibri"/>
          <w:i/>
          <w:color w:val="7F7F7F" w:themeColor="text1" w:themeTint="80"/>
          <w:sz w:val="26"/>
          <w:szCs w:val="26"/>
        </w:rPr>
      </w:pPr>
      <w:r>
        <w:rPr>
          <w:rFonts w:ascii="Calibri" w:hAnsi="Calibri" w:cs="Calibri"/>
          <w:i/>
          <w:color w:val="7F7F7F" w:themeColor="text1" w:themeTint="80"/>
          <w:sz w:val="26"/>
          <w:szCs w:val="26"/>
        </w:rPr>
        <w:t>“Nombre: *****”</w:t>
      </w:r>
      <w:proofErr w:type="gramStart"/>
      <w:r>
        <w:rPr>
          <w:rFonts w:ascii="Calibri" w:hAnsi="Calibri" w:cs="Calibri"/>
          <w:i/>
          <w:color w:val="7F7F7F" w:themeColor="text1" w:themeTint="80"/>
          <w:sz w:val="26"/>
          <w:szCs w:val="26"/>
        </w:rPr>
        <w:t>.,</w:t>
      </w:r>
      <w:proofErr w:type="gramEnd"/>
      <w:r>
        <w:rPr>
          <w:rFonts w:ascii="Calibri" w:hAnsi="Calibri" w:cs="Calibri"/>
          <w:i/>
          <w:color w:val="7F7F7F" w:themeColor="text1" w:themeTint="80"/>
          <w:sz w:val="26"/>
          <w:szCs w:val="26"/>
        </w:rPr>
        <w:t xml:space="preserve"> domicilio: Francisco Mena #101”</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 . . . . . . . . . . . . . . . . . . . . . . . . . . . . .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w:t>
      </w:r>
    </w:p>
    <w:p w:rsidR="000F1D55" w:rsidRDefault="000F1D55" w:rsidP="000F1D55">
      <w:pPr>
        <w:pStyle w:val="Textoindependiente"/>
        <w:tabs>
          <w:tab w:val="left" w:pos="3594"/>
        </w:tabs>
        <w:rPr>
          <w:rFonts w:ascii="Calibri" w:hAnsi="Calibri" w:cs="Calibri"/>
          <w:color w:val="7F7F7F" w:themeColor="text1" w:themeTint="80"/>
          <w:sz w:val="26"/>
          <w:szCs w:val="26"/>
          <w:lang w:val="es-ES"/>
        </w:rPr>
      </w:pPr>
    </w:p>
    <w:p w:rsidR="000F1D55" w:rsidRDefault="000F1D55" w:rsidP="000F1D55">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0F1D55" w:rsidRDefault="000F1D55" w:rsidP="000F1D55">
      <w:pPr>
        <w:pStyle w:val="Textoindependiente"/>
        <w:tabs>
          <w:tab w:val="left" w:pos="3594"/>
        </w:tabs>
        <w:rPr>
          <w:rFonts w:ascii="Calibri" w:hAnsi="Calibri" w:cs="Calibri"/>
          <w:iCs/>
          <w:color w:val="7F7F7F" w:themeColor="text1" w:themeTint="80"/>
          <w:sz w:val="26"/>
          <w:szCs w:val="26"/>
        </w:rPr>
      </w:pPr>
    </w:p>
    <w:p w:rsidR="000F1D55" w:rsidRDefault="000F1D55" w:rsidP="000F1D55">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0F1D55" w:rsidRDefault="000F1D55" w:rsidP="000F1D55">
      <w:pPr>
        <w:pStyle w:val="Textoindependiente"/>
        <w:tabs>
          <w:tab w:val="left" w:pos="3594"/>
        </w:tabs>
        <w:rPr>
          <w:rFonts w:ascii="Calibri" w:hAnsi="Calibri" w:cs="Calibri"/>
          <w:iCs/>
          <w:color w:val="7F7F7F" w:themeColor="text1" w:themeTint="80"/>
          <w:sz w:val="26"/>
          <w:szCs w:val="26"/>
        </w:rPr>
      </w:pPr>
    </w:p>
    <w:p w:rsidR="000F1D55" w:rsidRDefault="000F1D55" w:rsidP="000F1D55">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359498 (tres-cinco-nueve-cuatro-nueve-ocho), de fecha 20 veinte de enero del año 2017 dos mil diecisiete y la procedencia o improcedencia de sus pretensiones. . . . . . . . . . . . . . . . . . . . . . . </w:t>
      </w:r>
    </w:p>
    <w:p w:rsidR="000F1D55" w:rsidRDefault="000F1D55" w:rsidP="000F1D55">
      <w:pPr>
        <w:pStyle w:val="Textoindependiente"/>
        <w:tabs>
          <w:tab w:val="left" w:pos="3594"/>
        </w:tabs>
        <w:rPr>
          <w:color w:val="7F7F7F" w:themeColor="text1" w:themeTint="80"/>
          <w:sz w:val="22"/>
        </w:rPr>
      </w:pPr>
    </w:p>
    <w:p w:rsidR="000F1D55" w:rsidRDefault="000F1D55" w:rsidP="000F1D55">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Segundo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p>
    <w:p w:rsidR="000F1D55" w:rsidRDefault="000F1D55" w:rsidP="000F1D55">
      <w:pPr>
        <w:ind w:firstLine="708"/>
        <w:jc w:val="both"/>
        <w:rPr>
          <w:color w:val="7F7F7F" w:themeColor="text1" w:themeTint="80"/>
          <w:lang w:val="es-MX"/>
        </w:rPr>
      </w:pPr>
    </w:p>
    <w:p w:rsidR="000F1D55" w:rsidRDefault="000F1D55" w:rsidP="000F1D55">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F1D55" w:rsidRDefault="000F1D55" w:rsidP="000F1D55">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lastRenderedPageBreak/>
        <w:t xml:space="preserve"> </w:t>
      </w:r>
    </w:p>
    <w:p w:rsidR="000F1D55" w:rsidRDefault="000F1D55" w:rsidP="000F1D55">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Así las cosas, en el señalado concepto de impugnación, la impetrante expuso: </w:t>
      </w:r>
      <w:r>
        <w:rPr>
          <w:rFonts w:ascii="Calibri" w:hAnsi="Calibri" w:cs="Calibri"/>
          <w:b/>
          <w:i/>
          <w:color w:val="7F7F7F" w:themeColor="text1" w:themeTint="80"/>
          <w:sz w:val="26"/>
          <w:szCs w:val="26"/>
        </w:rPr>
        <w:t>“SEGUNDO</w:t>
      </w:r>
      <w:r>
        <w:rPr>
          <w:rFonts w:ascii="Calibri" w:hAnsi="Calibri" w:cs="Calibri"/>
          <w:i/>
          <w:color w:val="7F7F7F" w:themeColor="text1" w:themeTint="80"/>
          <w:sz w:val="26"/>
          <w:szCs w:val="26"/>
        </w:rPr>
        <w:t xml:space="preserve">.- Causa agravio… 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0F1D55" w:rsidRDefault="000F1D55" w:rsidP="000F1D55">
      <w:pPr>
        <w:ind w:firstLine="708"/>
        <w:jc w:val="both"/>
        <w:rPr>
          <w:rFonts w:ascii="Calibri" w:hAnsi="Calibri" w:cs="Calibri"/>
          <w:iCs/>
          <w:color w:val="7F7F7F" w:themeColor="text1" w:themeTint="80"/>
          <w:sz w:val="26"/>
          <w:szCs w:val="26"/>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0F1D55" w:rsidRDefault="000F1D55" w:rsidP="000F1D55">
      <w:pPr>
        <w:jc w:val="both"/>
        <w:rPr>
          <w:rFonts w:ascii="Calibri" w:hAnsi="Calibri" w:cs="Calibri"/>
          <w:bCs/>
          <w:color w:val="7F7F7F" w:themeColor="text1" w:themeTint="80"/>
          <w:sz w:val="26"/>
          <w:szCs w:val="26"/>
        </w:rPr>
      </w:pPr>
    </w:p>
    <w:p w:rsidR="000F1D55" w:rsidRDefault="000F1D55" w:rsidP="000F1D55">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359498 (tres-cinco-nueve-cuatro-nueve-ocho), de fecha 20 veinte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w:t>
      </w:r>
    </w:p>
    <w:p w:rsidR="000F1D55" w:rsidRDefault="000F1D55" w:rsidP="000F1D55">
      <w:pPr>
        <w:jc w:val="both"/>
        <w:rPr>
          <w:rFonts w:ascii="Calibri" w:hAnsi="Calibri" w:cs="Calibri"/>
          <w:bCs/>
          <w:color w:val="7F7F7F" w:themeColor="text1" w:themeTint="80"/>
          <w:sz w:val="20"/>
          <w:szCs w:val="20"/>
        </w:rPr>
      </w:pPr>
    </w:p>
    <w:p w:rsidR="000F1D55" w:rsidRDefault="000F1D55" w:rsidP="000F1D55">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0F1D55" w:rsidRDefault="000F1D55" w:rsidP="000F1D55">
      <w:pPr>
        <w:ind w:firstLine="708"/>
        <w:jc w:val="both"/>
        <w:rPr>
          <w:rFonts w:ascii="Calibri" w:hAnsi="Calibri" w:cs="Calibri"/>
          <w:bCs/>
          <w:color w:val="7F7F7F" w:themeColor="text1" w:themeTint="80"/>
          <w:sz w:val="26"/>
          <w:szCs w:val="26"/>
        </w:rPr>
      </w:pPr>
    </w:p>
    <w:p w:rsidR="000F1D55" w:rsidRDefault="000F1D55" w:rsidP="000F1D55">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0F1D55" w:rsidRDefault="000F1D55" w:rsidP="000F1D55">
      <w:pPr>
        <w:jc w:val="both"/>
        <w:rPr>
          <w:rFonts w:asciiTheme="minorHAnsi" w:hAnsiTheme="minorHAnsi" w:cs="Calibri"/>
          <w:bCs/>
          <w:color w:val="7F7F7F" w:themeColor="text1" w:themeTint="80"/>
          <w:sz w:val="26"/>
          <w:szCs w:val="26"/>
        </w:rPr>
      </w:pPr>
    </w:p>
    <w:p w:rsidR="000F1D55" w:rsidRDefault="000F1D55" w:rsidP="000F1D55">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w:t>
      </w:r>
      <w:r>
        <w:rPr>
          <w:rFonts w:ascii="Calibri" w:hAnsi="Calibri" w:cs="Calibri"/>
          <w:bCs/>
          <w:color w:val="7F7F7F" w:themeColor="text1" w:themeTint="80"/>
          <w:sz w:val="26"/>
          <w:szCs w:val="26"/>
        </w:rPr>
        <w:lastRenderedPageBreak/>
        <w:t xml:space="preserve">corpórea, es decir que tenga un cuerpo como lo tiene una persona física para la ejecución de tareas motrices. . . . . . . . . . . . . . . . . . . . . . . . . . </w:t>
      </w:r>
    </w:p>
    <w:p w:rsidR="000F1D55" w:rsidRDefault="000F1D55" w:rsidP="000F1D55">
      <w:pPr>
        <w:ind w:firstLine="708"/>
        <w:jc w:val="both"/>
        <w:rPr>
          <w:rFonts w:ascii="Calibri" w:hAnsi="Calibri" w:cs="Calibri"/>
          <w:bCs/>
          <w:color w:val="7F7F7F" w:themeColor="text1" w:themeTint="80"/>
          <w:sz w:val="26"/>
          <w:szCs w:val="26"/>
        </w:rPr>
      </w:pPr>
    </w:p>
    <w:p w:rsidR="000F1D55" w:rsidRDefault="000F1D55" w:rsidP="000F1D55">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w:t>
      </w:r>
    </w:p>
    <w:p w:rsidR="000F1D55" w:rsidRDefault="000F1D55" w:rsidP="000F1D55">
      <w:pPr>
        <w:ind w:firstLine="708"/>
        <w:jc w:val="both"/>
        <w:rPr>
          <w:rFonts w:ascii="Calibri" w:hAnsi="Calibri" w:cs="Calibri"/>
          <w:bCs/>
          <w:color w:val="7F7F7F" w:themeColor="text1" w:themeTint="80"/>
          <w:sz w:val="26"/>
          <w:szCs w:val="26"/>
        </w:rPr>
      </w:pPr>
    </w:p>
    <w:p w:rsidR="000F1D55" w:rsidRDefault="000F1D55" w:rsidP="000F1D5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0306/2do JAM/2017-JN</w:t>
      </w:r>
    </w:p>
    <w:p w:rsidR="000F1D55" w:rsidRDefault="000F1D55" w:rsidP="000F1D55">
      <w:pPr>
        <w:jc w:val="both"/>
        <w:rPr>
          <w:rFonts w:ascii="Calibri" w:hAnsi="Calibri" w:cs="Calibri"/>
          <w:bCs/>
          <w:color w:val="7F7F7F" w:themeColor="text1" w:themeTint="80"/>
          <w:sz w:val="26"/>
          <w:szCs w:val="26"/>
        </w:rPr>
      </w:pPr>
    </w:p>
    <w:p w:rsidR="000F1D55" w:rsidRDefault="000F1D55" w:rsidP="000F1D55">
      <w:pPr>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denotado como infractor al conductor del vehículo afecto a la prestación del servicio público de transporte; configurándose así la causal para declarar nula el acta de infracción número </w:t>
      </w:r>
      <w:r>
        <w:rPr>
          <w:rFonts w:ascii="Calibri" w:hAnsi="Calibri" w:cs="Calibri"/>
          <w:color w:val="7F7F7F" w:themeColor="text1" w:themeTint="80"/>
          <w:sz w:val="26"/>
          <w:szCs w:val="26"/>
        </w:rPr>
        <w:t>359498 (tres-cinco-nueve-cuatro-nueve-ocho), de fecha 20 veinte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w:t>
      </w:r>
    </w:p>
    <w:p w:rsidR="000F1D55" w:rsidRDefault="000F1D55" w:rsidP="000F1D55">
      <w:pPr>
        <w:jc w:val="both"/>
        <w:rPr>
          <w:rFonts w:ascii="Calibri" w:hAnsi="Calibri" w:cs="Calibri"/>
          <w:bCs/>
          <w:color w:val="7F7F7F" w:themeColor="text1" w:themeTint="80"/>
          <w:sz w:val="20"/>
          <w:szCs w:val="20"/>
        </w:rPr>
      </w:pPr>
    </w:p>
    <w:p w:rsidR="000F1D55" w:rsidRDefault="000F1D55" w:rsidP="000F1D55">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0F1D55" w:rsidRDefault="000F1D55" w:rsidP="000F1D55">
      <w:pPr>
        <w:jc w:val="both"/>
        <w:rPr>
          <w:rFonts w:ascii="Calibri" w:hAnsi="Calibri" w:cs="Calibri"/>
          <w:color w:val="7F7F7F" w:themeColor="text1" w:themeTint="80"/>
          <w:sz w:val="20"/>
          <w:szCs w:val="20"/>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359498 (tres-cinco-nueve-cuatro-nueve-ocho)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20 </w:t>
      </w:r>
      <w:r>
        <w:rPr>
          <w:rFonts w:ascii="Calibri" w:hAnsi="Calibri" w:cs="Calibri"/>
          <w:color w:val="7F7F7F" w:themeColor="text1" w:themeTint="80"/>
          <w:sz w:val="26"/>
          <w:szCs w:val="26"/>
        </w:rPr>
        <w:t>veinte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w:t>
      </w:r>
    </w:p>
    <w:p w:rsidR="000F1D55" w:rsidRDefault="000F1D55" w:rsidP="000F1D55">
      <w:pPr>
        <w:ind w:firstLine="708"/>
        <w:jc w:val="both"/>
        <w:rPr>
          <w:rFonts w:ascii="Calibri" w:hAnsi="Calibri" w:cs="Calibri"/>
          <w:color w:val="7F7F7F" w:themeColor="text1" w:themeTint="80"/>
          <w:sz w:val="20"/>
          <w:szCs w:val="20"/>
        </w:rPr>
      </w:pPr>
    </w:p>
    <w:p w:rsidR="000F1D55" w:rsidRDefault="000F1D55" w:rsidP="000F1D55">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segundo concepto de impugnación, resultó fundado y es suficiente para declarar la nulidad total del acto impugnado; resulta </w:t>
      </w:r>
      <w:r>
        <w:rPr>
          <w:rFonts w:ascii="Calibri" w:hAnsi="Calibri" w:cs="Arial"/>
          <w:color w:val="7F7F7F" w:themeColor="text1" w:themeTint="80"/>
          <w:sz w:val="26"/>
          <w:szCs w:val="27"/>
        </w:rPr>
        <w:lastRenderedPageBreak/>
        <w:t xml:space="preserve">innecesario el estudio de los restantes conceptos esgrimidos por la demandante, ya que su análisis no afectaría ni variaría el sentido de esta resolución. . . . . . . . . . </w:t>
      </w:r>
    </w:p>
    <w:p w:rsidR="000F1D55" w:rsidRDefault="000F1D55" w:rsidP="000F1D55">
      <w:pPr>
        <w:pStyle w:val="Textoindependiente"/>
        <w:rPr>
          <w:rFonts w:ascii="Calibri" w:hAnsi="Calibri" w:cs="Arial"/>
          <w:color w:val="7F7F7F" w:themeColor="text1" w:themeTint="80"/>
          <w:sz w:val="20"/>
          <w:szCs w:val="27"/>
          <w:lang w:val="es-ES"/>
        </w:rPr>
      </w:pPr>
    </w:p>
    <w:p w:rsidR="000F1D55" w:rsidRDefault="000F1D55" w:rsidP="000F1D55">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0F1D55" w:rsidRDefault="000F1D55" w:rsidP="000F1D55">
      <w:pPr>
        <w:pStyle w:val="Textoindependiente"/>
        <w:ind w:firstLine="708"/>
        <w:rPr>
          <w:rFonts w:ascii="Calibri" w:hAnsi="Calibri"/>
          <w:b/>
          <w:bCs/>
          <w:i/>
          <w:iCs/>
          <w:color w:val="7F7F7F" w:themeColor="text1" w:themeTint="80"/>
          <w:sz w:val="20"/>
          <w:szCs w:val="20"/>
        </w:rPr>
      </w:pPr>
    </w:p>
    <w:p w:rsidR="000F1D55" w:rsidRDefault="000F1D55" w:rsidP="000F1D55">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0F1D55" w:rsidRDefault="000F1D55" w:rsidP="000F1D55">
      <w:pPr>
        <w:pStyle w:val="Textoindependiente"/>
        <w:rPr>
          <w:rFonts w:ascii="Calibri" w:hAnsi="Calibri"/>
          <w:b/>
          <w:i/>
          <w:color w:val="7F7F7F" w:themeColor="text1" w:themeTint="80"/>
          <w:sz w:val="20"/>
          <w:szCs w:val="20"/>
        </w:rPr>
      </w:pPr>
    </w:p>
    <w:p w:rsidR="000F1D55" w:rsidRDefault="000F1D55" w:rsidP="000F1D55">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0F1D55" w:rsidRDefault="000F1D55" w:rsidP="000F1D55">
      <w:pPr>
        <w:ind w:firstLine="708"/>
        <w:jc w:val="both"/>
        <w:rPr>
          <w:rFonts w:ascii="Calibri" w:hAnsi="Calibri"/>
          <w:color w:val="767171" w:themeColor="background2" w:themeShade="80"/>
          <w:sz w:val="20"/>
          <w:szCs w:val="20"/>
        </w:rPr>
      </w:pPr>
    </w:p>
    <w:p w:rsidR="000F1D55" w:rsidRDefault="000F1D55" w:rsidP="000F1D55">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0F1D55" w:rsidRDefault="000F1D55" w:rsidP="000F1D55">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0F1D55" w:rsidRDefault="000F1D55" w:rsidP="000F1D55">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0F1D55" w:rsidRDefault="000F1D55" w:rsidP="000F1D55">
      <w:pPr>
        <w:pStyle w:val="Textoindependiente"/>
        <w:rPr>
          <w:rFonts w:ascii="Calibri" w:hAnsi="Calibri" w:cs="Calibri"/>
          <w:color w:val="7F7F7F" w:themeColor="text1" w:themeTint="80"/>
          <w:sz w:val="20"/>
          <w:szCs w:val="20"/>
        </w:rPr>
      </w:pPr>
    </w:p>
    <w:p w:rsidR="000F1D55" w:rsidRDefault="000F1D55" w:rsidP="000F1D55">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lastRenderedPageBreak/>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0F1D55" w:rsidRDefault="000F1D55" w:rsidP="000F1D55">
      <w:pPr>
        <w:pStyle w:val="Textoindependiente"/>
        <w:ind w:firstLine="708"/>
        <w:rPr>
          <w:rFonts w:ascii="Calibri" w:hAnsi="Calibri" w:cs="Calibri"/>
          <w:bCs/>
          <w:iCs/>
          <w:color w:val="7F7F7F" w:themeColor="text1" w:themeTint="80"/>
          <w:sz w:val="20"/>
          <w:szCs w:val="20"/>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359498 (tres-cinco-nueve-cuatro-nueve-ocho)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20 </w:t>
      </w:r>
      <w:r>
        <w:rPr>
          <w:rFonts w:ascii="Calibri" w:hAnsi="Calibri" w:cs="Calibri"/>
          <w:color w:val="7F7F7F" w:themeColor="text1" w:themeTint="80"/>
          <w:sz w:val="26"/>
          <w:szCs w:val="26"/>
        </w:rPr>
        <w:t>veinte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0F1D55" w:rsidRDefault="000F1D55" w:rsidP="000F1D55">
      <w:pPr>
        <w:pStyle w:val="Textoindependiente"/>
        <w:rPr>
          <w:rFonts w:ascii="Calibri" w:hAnsi="Calibri" w:cs="Calibri"/>
          <w:b/>
          <w:bCs/>
          <w:i/>
          <w:iCs/>
          <w:color w:val="7F7F7F" w:themeColor="text1" w:themeTint="80"/>
          <w:sz w:val="20"/>
          <w:szCs w:val="20"/>
          <w:lang w:val="es-ES"/>
        </w:rPr>
      </w:pPr>
    </w:p>
    <w:p w:rsidR="000F1D55" w:rsidRDefault="000F1D55" w:rsidP="000F1D55">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las </w:t>
      </w:r>
      <w:r>
        <w:rPr>
          <w:rFonts w:ascii="Calibri" w:hAnsi="Calibri"/>
          <w:b/>
          <w:color w:val="7F7F7F" w:themeColor="text1" w:themeTint="80"/>
          <w:sz w:val="26"/>
        </w:rPr>
        <w:t>placas de circulación</w:t>
      </w:r>
      <w:r>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 . . . . . . . . . . . . . . . . . . . . . . . . . . . . . . . . . . . . . . .</w:t>
      </w:r>
    </w:p>
    <w:p w:rsidR="000F1D55" w:rsidRDefault="000F1D55" w:rsidP="000F1D55">
      <w:pPr>
        <w:jc w:val="both"/>
        <w:rPr>
          <w:rFonts w:ascii="Calibri" w:hAnsi="Calibri" w:cs="Calibri"/>
          <w:color w:val="7F7F7F" w:themeColor="text1" w:themeTint="80"/>
          <w:sz w:val="20"/>
          <w:szCs w:val="20"/>
        </w:rPr>
      </w:pPr>
    </w:p>
    <w:p w:rsidR="000F1D55" w:rsidRDefault="000F1D55" w:rsidP="000F1D55">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0306/2do JAM/2017-JN</w:t>
      </w: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0F1D55" w:rsidRDefault="000F1D55" w:rsidP="000F1D55">
      <w:pPr>
        <w:jc w:val="both"/>
        <w:rPr>
          <w:rFonts w:ascii="Calibri" w:hAnsi="Calibri" w:cs="Calibri"/>
          <w:color w:val="7F7F7F" w:themeColor="text1" w:themeTint="80"/>
          <w:sz w:val="20"/>
          <w:szCs w:val="20"/>
          <w:lang w:val="es-MX"/>
        </w:rPr>
      </w:pPr>
    </w:p>
    <w:p w:rsidR="000F1D55" w:rsidRDefault="000F1D55" w:rsidP="000F1D55">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0F1D55" w:rsidRDefault="000F1D55" w:rsidP="000F1D55">
      <w:pPr>
        <w:pStyle w:val="Textoindependiente"/>
        <w:rPr>
          <w:rFonts w:ascii="Calibri" w:hAnsi="Calibri" w:cs="Calibri"/>
          <w:color w:val="7F7F7F" w:themeColor="text1" w:themeTint="80"/>
          <w:sz w:val="20"/>
          <w:szCs w:val="20"/>
        </w:rPr>
      </w:pPr>
    </w:p>
    <w:p w:rsidR="000F1D55" w:rsidRDefault="000F1D55" w:rsidP="000F1D55">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bookmarkStart w:id="0" w:name="_GoBack"/>
      <w:bookmarkEnd w:id="0"/>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ind w:firstLine="708"/>
        <w:rPr>
          <w:rFonts w:ascii="Calibri" w:hAnsi="Calibri" w:cs="Calibri"/>
          <w:color w:val="7F7F7F" w:themeColor="text1" w:themeTint="80"/>
          <w:sz w:val="26"/>
          <w:szCs w:val="26"/>
        </w:rPr>
      </w:pPr>
    </w:p>
    <w:p w:rsidR="000F1D55" w:rsidRDefault="000F1D55" w:rsidP="000F1D55">
      <w:pPr>
        <w:pStyle w:val="Textoindependiente"/>
        <w:ind w:firstLine="708"/>
        <w:rPr>
          <w:rFonts w:ascii="Calibri" w:hAnsi="Calibri" w:cs="Calibri"/>
          <w:b/>
          <w:color w:val="7F7F7F" w:themeColor="text1" w:themeTint="80"/>
        </w:rPr>
      </w:pPr>
      <w:r>
        <w:rPr>
          <w:rFonts w:ascii="Calibri" w:hAnsi="Calibri" w:cs="Calibri"/>
          <w:b/>
          <w:color w:val="7F7F7F" w:themeColor="text1" w:themeTint="80"/>
        </w:rPr>
        <w:t xml:space="preserve">LA PRESENTE FOJA FORMA PARTE DE LA SENTENCIA DICTADA EL DÍA 29 VEINTINUEVE DE JUNIO DEL AÑO 2017 DOS MIL DIECISIETE, EN EL PROCESO ADMINISTRATIVO CON NÚMERO DE EXPEDIENTE 0306/2do JAM/2017-JN. . . . . . . . . . .  </w:t>
      </w:r>
    </w:p>
    <w:p w:rsidR="004F58FC" w:rsidRPr="000F1D55" w:rsidRDefault="004F58FC">
      <w:pPr>
        <w:rPr>
          <w:lang w:val="es-MX"/>
        </w:rPr>
      </w:pPr>
    </w:p>
    <w:sectPr w:rsidR="004F58FC" w:rsidRPr="000F1D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55"/>
    <w:rsid w:val="000F1D55"/>
    <w:rsid w:val="004F5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1829F-F08A-44BD-A217-EE74AF89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D5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F1D5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1D55"/>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F1D55"/>
    <w:pPr>
      <w:jc w:val="both"/>
    </w:pPr>
    <w:rPr>
      <w:lang w:val="es-MX"/>
    </w:rPr>
  </w:style>
  <w:style w:type="character" w:customStyle="1" w:styleId="TextoindependienteCar">
    <w:name w:val="Texto independiente Car"/>
    <w:basedOn w:val="Fuentedeprrafopredeter"/>
    <w:link w:val="Textoindependiente"/>
    <w:rsid w:val="000F1D5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0F1D5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F1D5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3277</Words>
  <Characters>18024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2017-08-31T14:45:00Z</dcterms:created>
  <dcterms:modified xsi:type="dcterms:W3CDTF">2017-08-31T14:46:00Z</dcterms:modified>
</cp:coreProperties>
</file>